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EC" w:rsidRDefault="00E872D7">
      <w:pPr>
        <w:outlineLvl w:val="0"/>
        <w:rPr>
          <w:rFonts w:ascii="Helvetica" w:eastAsia="Helvetica" w:hAnsi="Helvetica" w:cs="Helvetica"/>
          <w:lang w:val="es-ES_tradnl"/>
        </w:rPr>
      </w:pPr>
      <w:bookmarkStart w:id="0" w:name="_GoBack"/>
      <w:bookmarkEnd w:id="0"/>
      <w:r>
        <w:rPr>
          <w:rFonts w:ascii="Helvetica" w:eastAsia="Helvetica" w:hAnsi="Helvetica" w:cs="Helvetica"/>
          <w:noProof/>
          <w:lang w:val="es-ES" w:eastAsia="es-E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659129</wp:posOffset>
            </wp:positionH>
            <wp:positionV relativeFrom="page">
              <wp:posOffset>702310</wp:posOffset>
            </wp:positionV>
            <wp:extent cx="4657725" cy="1435100"/>
            <wp:effectExtent l="0" t="0" r="0" b="0"/>
            <wp:wrapSquare wrapText="bothSides" distT="152400" distB="152400" distL="152400" distR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lang w:val="es-ES_tradnl"/>
        </w:rPr>
        <w:t xml:space="preserve">      </w:t>
      </w:r>
    </w:p>
    <w:p w:rsidR="009B5BEC" w:rsidRDefault="00E872D7">
      <w:pPr>
        <w:outlineLvl w:val="0"/>
        <w:rPr>
          <w:rFonts w:ascii="Helvetica" w:eastAsia="Helvetica" w:hAnsi="Helvetica" w:cs="Helvetica"/>
          <w:b/>
          <w:bCs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 xml:space="preserve">                                                  </w:t>
      </w:r>
    </w:p>
    <w:p w:rsidR="009B5BEC" w:rsidRDefault="009B5BEC">
      <w:pPr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9B5BEC">
      <w:pPr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9B5BEC">
      <w:pPr>
        <w:jc w:val="center"/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 xml:space="preserve">                                               </w:t>
      </w:r>
    </w:p>
    <w:p w:rsidR="009B5BEC" w:rsidRDefault="009B5BEC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9B5BEC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 xml:space="preserve">                                                 I  SEMINARIO DE FORMACIÓN</w:t>
      </w:r>
    </w:p>
    <w:p w:rsidR="009B5BEC" w:rsidRDefault="009B5BEC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lang w:val="es-ES_tradnl"/>
        </w:rPr>
        <w:t xml:space="preserve">                 </w:t>
      </w:r>
      <w:r>
        <w:rPr>
          <w:rFonts w:ascii="Helvetica" w:eastAsia="Helvetica" w:hAnsi="Helvetica" w:cs="Helvetica"/>
          <w:sz w:val="36"/>
          <w:szCs w:val="36"/>
          <w:lang w:val="es-ES_tradnl"/>
        </w:rPr>
        <w:t xml:space="preserve">El  Cine  como  recurso  docente  en  Salud  </w:t>
      </w:r>
      <w:r>
        <w:rPr>
          <w:rFonts w:ascii="Helvetica" w:eastAsia="Helvetica" w:hAnsi="Helvetica" w:cs="Helvetica"/>
          <w:sz w:val="36"/>
          <w:szCs w:val="36"/>
          <w:lang w:val="es-ES_tradnl"/>
        </w:rPr>
        <w:t>Mental</w:t>
      </w:r>
    </w:p>
    <w:p w:rsidR="009B5BEC" w:rsidRDefault="009B5BEC">
      <w:pPr>
        <w:jc w:val="both"/>
        <w:outlineLvl w:val="0"/>
        <w:rPr>
          <w:rFonts w:ascii="Helvetica" w:eastAsia="Helvetica" w:hAnsi="Helvetica" w:cs="Helvetica"/>
          <w:lang w:val="es-ES_tradn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Temática</w:t>
      </w:r>
      <w:r>
        <w:rPr>
          <w:rFonts w:ascii="Helvetica" w:eastAsia="Helvetica" w:hAnsi="Helvetica" w:cs="Helvetica"/>
          <w:lang w:val="es-ES_tradnl"/>
        </w:rPr>
        <w:t>:</w:t>
      </w:r>
    </w:p>
    <w:p w:rsidR="009B5BEC" w:rsidRDefault="00E872D7">
      <w:pPr>
        <w:pStyle w:val="Body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 obra  cinematográfica  de   Luis  Buñuel  proporciona  un  fascinante  material  de  estudio,  con  un  reconocido  interés  psicopatológico, especialmente  su  película  “Él”  (1952) –basada  en  una  novela  de  la  canaria  Mercede</w:t>
      </w:r>
      <w:r>
        <w:rPr>
          <w:rFonts w:ascii="Arial" w:eastAsia="Arial" w:hAnsi="Arial" w:cs="Arial"/>
        </w:rPr>
        <w:t>s  Pinto –.</w:t>
      </w:r>
    </w:p>
    <w:p w:rsidR="009B5BEC" w:rsidRDefault="009B5BEC">
      <w:pPr>
        <w:pStyle w:val="Body1"/>
        <w:jc w:val="both"/>
        <w:rPr>
          <w:rFonts w:ascii="Arial" w:eastAsia="Arial" w:hAnsi="Arial" w:cs="Arial"/>
        </w:rPr>
      </w:pPr>
    </w:p>
    <w:p w:rsidR="009B5BEC" w:rsidRDefault="00E872D7">
      <w:pPr>
        <w:pStyle w:val="Body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Nuestro  objetivo  es  enriquecer  el  uso  docente  del  Cine  con  el  análisis  de  la      subjetividad  del  director,  y  su  relación  con  el  proceso  creativo  fílmico. </w:t>
      </w:r>
    </w:p>
    <w:p w:rsidR="009B5BEC" w:rsidRDefault="009B5BEC">
      <w:pPr>
        <w:pStyle w:val="Body1"/>
        <w:jc w:val="both"/>
        <w:rPr>
          <w:rFonts w:ascii="Arial" w:eastAsia="Arial" w:hAnsi="Arial" w:cs="Arial"/>
        </w:rPr>
      </w:pPr>
    </w:p>
    <w:p w:rsidR="009B5BEC" w:rsidRDefault="00E872D7">
      <w:pPr>
        <w:pStyle w:val="Body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Elaboramos  a  tal  efecto  una  sistemática  o  metodología  </w:t>
      </w:r>
      <w:r>
        <w:rPr>
          <w:rFonts w:ascii="Arial" w:eastAsia="Arial" w:hAnsi="Arial" w:cs="Arial"/>
        </w:rPr>
        <w:t>que  pretende  identificar  y  asociar  aquellos  aspectos  más  relevantes,  y  cuya  vocación  es  la  de  ser  extrapolable  a  otros  cineastas.</w:t>
      </w:r>
    </w:p>
    <w:p w:rsidR="009B5BEC" w:rsidRDefault="009B5BEC">
      <w:pPr>
        <w:pStyle w:val="Body1"/>
        <w:jc w:val="both"/>
        <w:rPr>
          <w:rFonts w:ascii="Arial" w:eastAsia="Arial" w:hAnsi="Arial" w:cs="Aria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Profesores</w:t>
      </w:r>
      <w:r>
        <w:rPr>
          <w:rFonts w:ascii="Helvetica" w:eastAsia="Helvetica" w:hAnsi="Helvetica" w:cs="Helvetica"/>
          <w:lang w:val="es-ES_tradnl"/>
        </w:rPr>
        <w:t xml:space="preserve">: 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lang w:val="es-ES_tradnl"/>
        </w:rPr>
        <w:t xml:space="preserve">José  Miguel  Marrero  </w:t>
      </w:r>
      <w:proofErr w:type="spellStart"/>
      <w:r>
        <w:rPr>
          <w:rFonts w:ascii="Helvetica" w:eastAsia="Helvetica" w:hAnsi="Helvetica" w:cs="Helvetica"/>
          <w:lang w:val="es-ES_tradnl"/>
        </w:rPr>
        <w:t>Marrero</w:t>
      </w:r>
      <w:proofErr w:type="spellEnd"/>
      <w:r>
        <w:rPr>
          <w:rFonts w:ascii="Helvetica" w:eastAsia="Helvetica" w:hAnsi="Helvetica" w:cs="Helvetica"/>
          <w:lang w:val="es-ES_tradnl"/>
        </w:rPr>
        <w:t xml:space="preserve">. Médico  Especialista  en  Psiquiatría. Servicio  Canario de </w:t>
      </w:r>
      <w:r>
        <w:rPr>
          <w:rFonts w:ascii="Helvetica" w:eastAsia="Helvetica" w:hAnsi="Helvetica" w:cs="Helvetica"/>
          <w:lang w:val="es-ES_tradnl"/>
        </w:rPr>
        <w:t>Salud.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lang w:val="es-ES_tradnl"/>
        </w:rPr>
        <w:t xml:space="preserve">Carolina  Sara  Romero  Sánchez. Médico  Especialista  en  Psiquiatría. Servicio  Canario de Salud. </w:t>
      </w:r>
    </w:p>
    <w:p w:rsidR="009B5BEC" w:rsidRDefault="009B5BEC">
      <w:pPr>
        <w:jc w:val="both"/>
        <w:outlineLvl w:val="0"/>
        <w:rPr>
          <w:rFonts w:ascii="Helvetica" w:eastAsia="Helvetica" w:hAnsi="Helvetica" w:cs="Helvetica"/>
          <w:lang w:val="es-ES_tradnl"/>
        </w:rPr>
      </w:pP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Formato</w:t>
      </w:r>
      <w:r>
        <w:rPr>
          <w:rFonts w:ascii="Helvetica" w:eastAsia="Helvetica" w:hAnsi="Helvetica" w:cs="Helvetica"/>
          <w:lang w:val="es-ES_tradnl"/>
        </w:rPr>
        <w:t>: Seminario  con  soporte  audiovisual.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b/>
          <w:bCs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 xml:space="preserve">Día:   </w:t>
      </w:r>
      <w:r>
        <w:rPr>
          <w:rFonts w:ascii="Helvetica" w:eastAsia="Helvetica" w:hAnsi="Helvetica" w:cs="Helvetica"/>
          <w:lang w:val="es-ES_tradnl"/>
        </w:rPr>
        <w:t>7</w:t>
      </w:r>
      <w:r>
        <w:rPr>
          <w:rFonts w:ascii="Helvetica" w:eastAsia="Helvetica" w:hAnsi="Helvetica" w:cs="Helvetica"/>
          <w:b/>
          <w:bCs/>
          <w:lang w:val="es-ES_tradnl"/>
        </w:rPr>
        <w:t xml:space="preserve">  </w:t>
      </w:r>
      <w:r>
        <w:rPr>
          <w:rFonts w:ascii="Helvetica" w:eastAsia="Helvetica" w:hAnsi="Helvetica" w:cs="Helvetica"/>
          <w:lang w:val="es-ES_tradnl"/>
        </w:rPr>
        <w:t>de Febrero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Duración</w:t>
      </w:r>
      <w:r>
        <w:rPr>
          <w:rFonts w:ascii="Helvetica" w:eastAsia="Helvetica" w:hAnsi="Helvetica" w:cs="Helvetica"/>
          <w:lang w:val="es-ES_tradnl"/>
        </w:rPr>
        <w:t>: 4  horas.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Horario</w:t>
      </w:r>
      <w:r>
        <w:rPr>
          <w:rFonts w:ascii="Helvetica" w:eastAsia="Helvetica" w:hAnsi="Helvetica" w:cs="Helvetica"/>
          <w:lang w:val="es-ES_tradnl"/>
        </w:rPr>
        <w:t>: 16,00h-20,00h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 xml:space="preserve">Lugar: </w:t>
      </w:r>
      <w:r>
        <w:rPr>
          <w:rFonts w:ascii="Helvetica" w:eastAsia="Helvetica" w:hAnsi="Helvetica" w:cs="Helvetica"/>
          <w:lang w:val="es-ES_tradnl"/>
        </w:rPr>
        <w:t>Edificio</w:t>
      </w:r>
      <w:r>
        <w:rPr>
          <w:rFonts w:ascii="Helvetica" w:eastAsia="Helvetica" w:hAnsi="Helvetica" w:cs="Helvetica"/>
          <w:lang w:val="es-ES_tradnl"/>
        </w:rPr>
        <w:t xml:space="preserve"> de humanidades salón</w:t>
      </w:r>
      <w:r>
        <w:rPr>
          <w:rFonts w:ascii="Helvetica" w:eastAsia="Helvetica" w:hAnsi="Helvetica" w:cs="Helvetica"/>
          <w:lang w:val="es-ES_tradnl"/>
        </w:rPr>
        <w:t xml:space="preserve"> de actos. Plaza de la constitución. 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Inscripción</w:t>
      </w:r>
      <w:r>
        <w:rPr>
          <w:rFonts w:ascii="Helvetica" w:eastAsia="Helvetica" w:hAnsi="Helvetica" w:cs="Helvetica"/>
          <w:lang w:val="es-ES_tradnl"/>
        </w:rPr>
        <w:t>: El día del seminario. Gratuita.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Número de plazas</w:t>
      </w:r>
      <w:r>
        <w:rPr>
          <w:rFonts w:ascii="Helvetica" w:eastAsia="Helvetica" w:hAnsi="Helvetica" w:cs="Helvetica"/>
          <w:lang w:val="es-ES_tradnl"/>
        </w:rPr>
        <w:t xml:space="preserve">: 50 </w:t>
      </w:r>
      <w:proofErr w:type="gramStart"/>
      <w:r>
        <w:rPr>
          <w:rFonts w:ascii="Helvetica" w:eastAsia="Helvetica" w:hAnsi="Helvetica" w:cs="Helvetica"/>
          <w:lang w:val="es-ES_tradnl"/>
        </w:rPr>
        <w:t>máximo</w:t>
      </w:r>
      <w:proofErr w:type="gramEnd"/>
      <w:r>
        <w:rPr>
          <w:rFonts w:ascii="Helvetica" w:eastAsia="Helvetica" w:hAnsi="Helvetica" w:cs="Helvetica"/>
          <w:lang w:val="es-ES_tradnl"/>
        </w:rPr>
        <w:t>.</w:t>
      </w:r>
    </w:p>
    <w:p w:rsidR="009B5BEC" w:rsidRDefault="00E872D7">
      <w:pPr>
        <w:jc w:val="both"/>
        <w:outlineLvl w:val="0"/>
        <w:rPr>
          <w:rFonts w:ascii="Helvetica" w:eastAsia="Helvetica" w:hAnsi="Helvetica" w:cs="Helvetica"/>
          <w:lang w:val="es-ES_tradnl"/>
        </w:rPr>
      </w:pPr>
      <w:r>
        <w:rPr>
          <w:rFonts w:ascii="Helvetica" w:eastAsia="Helvetica" w:hAnsi="Helvetica" w:cs="Helvetica"/>
          <w:b/>
          <w:bCs/>
          <w:lang w:val="es-ES_tradnl"/>
        </w:rPr>
        <w:t>Organiza</w:t>
      </w:r>
      <w:r>
        <w:rPr>
          <w:rFonts w:ascii="Helvetica" w:eastAsia="Helvetica" w:hAnsi="Helvetica" w:cs="Helvetica"/>
          <w:lang w:val="es-ES_tradnl"/>
        </w:rPr>
        <w:t>: Asociación  Canaria  de  Neuropsiquiatría  y  Salud  Mental.</w:t>
      </w:r>
    </w:p>
    <w:p w:rsidR="009B5BEC" w:rsidRDefault="00E872D7">
      <w:pPr>
        <w:pStyle w:val="Body1"/>
        <w:shd w:val="clear" w:color="auto" w:fill="FFFFFF"/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Colabora</w:t>
      </w:r>
      <w:proofErr w:type="gramStart"/>
      <w:r>
        <w:rPr>
          <w:rFonts w:ascii="Arial" w:eastAsia="Arial" w:hAnsi="Arial" w:cs="Arial"/>
        </w:rPr>
        <w:t>:  Universidad</w:t>
      </w:r>
      <w:proofErr w:type="gramEnd"/>
      <w:r>
        <w:rPr>
          <w:rFonts w:ascii="Arial" w:eastAsia="Arial" w:hAnsi="Arial" w:cs="Arial"/>
        </w:rPr>
        <w:t xml:space="preserve"> de Las Palmas de Gran Canaria.</w:t>
      </w:r>
    </w:p>
    <w:p w:rsidR="009B5BEC" w:rsidRDefault="009B5BEC">
      <w:pPr>
        <w:jc w:val="both"/>
        <w:outlineLvl w:val="0"/>
        <w:rPr>
          <w:rFonts w:ascii="Arial" w:eastAsia="Arial" w:hAnsi="Arial" w:cs="Arial"/>
          <w:lang w:val="es-ES_tradnl"/>
        </w:rPr>
      </w:pPr>
    </w:p>
    <w:p w:rsidR="009B5BEC" w:rsidRDefault="00E872D7">
      <w:pPr>
        <w:spacing w:line="240" w:lineRule="atLeast"/>
        <w:jc w:val="both"/>
        <w:outlineLvl w:val="0"/>
        <w:rPr>
          <w:rFonts w:ascii="Arial" w:eastAsia="Arial" w:hAnsi="Arial" w:cs="Arial"/>
          <w:b/>
          <w:bCs/>
          <w:sz w:val="22"/>
          <w:szCs w:val="22"/>
          <w:lang w:val="es-ES_tradnl"/>
        </w:rPr>
      </w:pPr>
      <w:r>
        <w:rPr>
          <w:rFonts w:ascii="Arial" w:eastAsia="Arial" w:hAnsi="Arial" w:cs="Arial"/>
          <w:b/>
          <w:bCs/>
          <w:sz w:val="22"/>
          <w:szCs w:val="22"/>
          <w:lang w:val="es-ES_tradnl"/>
        </w:rPr>
        <w:t xml:space="preserve">Esta  actividad  </w:t>
      </w:r>
      <w:r>
        <w:rPr>
          <w:rFonts w:ascii="Arial" w:eastAsia="Arial" w:hAnsi="Arial" w:cs="Arial"/>
          <w:b/>
          <w:bCs/>
          <w:sz w:val="22"/>
          <w:szCs w:val="22"/>
          <w:lang w:val="es-ES_tradnl"/>
        </w:rPr>
        <w:t>docente  está  acreditada  por  la  Escuela  de  Salud  Mental  de  la  Asociación  Española  de  Neuropsiquiatría  con  1  crédito  de  formación  continuada.</w:t>
      </w:r>
    </w:p>
    <w:p w:rsidR="009B5BEC" w:rsidRDefault="009B5BEC">
      <w:pPr>
        <w:spacing w:line="240" w:lineRule="atLeast"/>
        <w:jc w:val="both"/>
        <w:outlineLvl w:val="0"/>
        <w:rPr>
          <w:rFonts w:ascii="Arial" w:eastAsia="Arial" w:hAnsi="Arial" w:cs="Arial"/>
          <w:b/>
          <w:bCs/>
          <w:sz w:val="22"/>
          <w:szCs w:val="22"/>
          <w:lang w:val="es-ES_tradnl"/>
        </w:rPr>
      </w:pPr>
    </w:p>
    <w:p w:rsidR="009B5BEC" w:rsidRDefault="00E872D7">
      <w:pPr>
        <w:spacing w:line="240" w:lineRule="atLeast"/>
        <w:jc w:val="both"/>
        <w:outlineLvl w:val="0"/>
      </w:pPr>
      <w:r>
        <w:rPr>
          <w:rFonts w:ascii="Arial" w:eastAsia="Arial" w:hAnsi="Arial" w:cs="Arial"/>
          <w:b/>
          <w:bCs/>
          <w:noProof/>
          <w:sz w:val="22"/>
          <w:szCs w:val="22"/>
          <w:lang w:val="es-ES"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3302000</wp:posOffset>
            </wp:positionH>
            <wp:positionV relativeFrom="line">
              <wp:posOffset>234315</wp:posOffset>
            </wp:positionV>
            <wp:extent cx="938531" cy="868045"/>
            <wp:effectExtent l="0" t="0" r="0" b="0"/>
            <wp:wrapSquare wrapText="bothSides" distT="0" distB="0" distL="0" distR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 rotWithShape="1">
                    <a:blip r:embed="rId8">
                      <a:extLst/>
                    </a:blip>
                    <a:srcRect l="23437" t="20898" r="55000" b="53320"/>
                    <a:stretch>
                      <a:fillRect/>
                    </a:stretch>
                  </pic:blipFill>
                  <pic:spPr>
                    <a:xfrm>
                      <a:off x="0" y="0"/>
                      <a:ext cx="938531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sectPr w:rsidR="009B5BEC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D7" w:rsidRDefault="00E872D7">
      <w:r>
        <w:separator/>
      </w:r>
    </w:p>
  </w:endnote>
  <w:endnote w:type="continuationSeparator" w:id="0">
    <w:p w:rsidR="00E872D7" w:rsidRDefault="00E8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EC" w:rsidRDefault="009B5BEC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D7" w:rsidRDefault="00E872D7">
      <w:r>
        <w:separator/>
      </w:r>
    </w:p>
  </w:footnote>
  <w:footnote w:type="continuationSeparator" w:id="0">
    <w:p w:rsidR="00E872D7" w:rsidRDefault="00E8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EC" w:rsidRDefault="009B5BEC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BEC"/>
    <w:rsid w:val="007761C2"/>
    <w:rsid w:val="009B5BEC"/>
    <w:rsid w:val="00C44F09"/>
    <w:rsid w:val="00E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1">
    <w:name w:val="Body 1"/>
    <w:pPr>
      <w:outlineLvl w:val="0"/>
    </w:pPr>
    <w:rPr>
      <w:rFonts w:eastAsia="Times New Roman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1">
    <w:name w:val="Body 1"/>
    <w:pPr>
      <w:outlineLvl w:val="0"/>
    </w:pPr>
    <w:rPr>
      <w:rFonts w:eastAsia="Times New Roman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Loureiro Pérez</dc:creator>
  <cp:lastModifiedBy>Ana </cp:lastModifiedBy>
  <cp:revision>2</cp:revision>
  <dcterms:created xsi:type="dcterms:W3CDTF">2014-01-12T12:41:00Z</dcterms:created>
  <dcterms:modified xsi:type="dcterms:W3CDTF">2014-01-12T12:41:00Z</dcterms:modified>
</cp:coreProperties>
</file>